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F0738" w:rsidRDefault="00000000">
      <w:pPr>
        <w:spacing w:after="120"/>
        <w:ind w:left="851" w:hanging="851"/>
        <w:jc w:val="both"/>
        <w:rPr>
          <w:sz w:val="20"/>
          <w:szCs w:val="20"/>
        </w:rPr>
      </w:pPr>
      <w:r>
        <w:rPr>
          <w:sz w:val="20"/>
          <w:szCs w:val="20"/>
        </w:rPr>
        <w:t xml:space="preserve"> </w:t>
      </w:r>
    </w:p>
    <w:p w:rsidR="008F0738" w:rsidRDefault="008F0738">
      <w:pPr>
        <w:spacing w:after="120"/>
        <w:ind w:left="851" w:hanging="851"/>
        <w:jc w:val="both"/>
        <w:rPr>
          <w:sz w:val="20"/>
          <w:szCs w:val="20"/>
        </w:rPr>
      </w:pPr>
    </w:p>
    <w:p w:rsidR="008F0738" w:rsidRDefault="008F0738">
      <w:pPr>
        <w:spacing w:after="120"/>
        <w:ind w:left="851" w:hanging="851"/>
        <w:jc w:val="both"/>
        <w:rPr>
          <w:sz w:val="20"/>
          <w:szCs w:val="20"/>
        </w:rPr>
      </w:pPr>
    </w:p>
    <w:p w:rsidR="008F0738" w:rsidRDefault="008F0738">
      <w:pPr>
        <w:spacing w:after="120"/>
        <w:ind w:left="851" w:hanging="851"/>
        <w:jc w:val="both"/>
        <w:rPr>
          <w:sz w:val="20"/>
          <w:szCs w:val="20"/>
        </w:rPr>
      </w:pPr>
    </w:p>
    <w:p w:rsidR="008F0738" w:rsidRDefault="008F0738">
      <w:pPr>
        <w:spacing w:after="120"/>
        <w:ind w:left="851" w:hanging="851"/>
        <w:jc w:val="both"/>
        <w:rPr>
          <w:sz w:val="20"/>
          <w:szCs w:val="20"/>
        </w:rPr>
      </w:pPr>
    </w:p>
    <w:p w:rsidR="008F0738" w:rsidRDefault="008F0738">
      <w:pPr>
        <w:spacing w:after="120"/>
        <w:ind w:left="851" w:hanging="851"/>
        <w:jc w:val="both"/>
        <w:rPr>
          <w:sz w:val="20"/>
          <w:szCs w:val="20"/>
        </w:rPr>
      </w:pPr>
    </w:p>
    <w:p w:rsidR="008F0738" w:rsidRDefault="008F0738">
      <w:pPr>
        <w:spacing w:after="120"/>
        <w:ind w:left="851" w:hanging="851"/>
        <w:jc w:val="both"/>
        <w:rPr>
          <w:sz w:val="20"/>
          <w:szCs w:val="20"/>
        </w:rPr>
      </w:pPr>
    </w:p>
    <w:p w:rsidR="008F0738" w:rsidRDefault="00000000">
      <w:pPr>
        <w:spacing w:after="120"/>
        <w:jc w:val="center"/>
        <w:rPr>
          <w:b/>
          <w:bCs/>
          <w:sz w:val="20"/>
          <w:szCs w:val="20"/>
          <w:lang w:val="en-GB"/>
        </w:rPr>
      </w:pPr>
      <w:r>
        <w:rPr>
          <w:b/>
          <w:bCs/>
          <w:sz w:val="20"/>
          <w:szCs w:val="20"/>
          <w:lang w:val="en-GB"/>
        </w:rPr>
        <w:t>Appendix SD SEMI-DIRECT JUDGMENT 2025–2028</w:t>
      </w:r>
    </w:p>
    <w:p w:rsidR="008F0738" w:rsidRDefault="008F0738">
      <w:pPr>
        <w:spacing w:after="120"/>
        <w:jc w:val="both"/>
        <w:rPr>
          <w:sz w:val="20"/>
          <w:szCs w:val="20"/>
          <w:lang w:val="en-GB"/>
        </w:rPr>
      </w:pPr>
    </w:p>
    <w:p w:rsidR="008F0738" w:rsidRDefault="00000000">
      <w:pPr>
        <w:spacing w:after="120"/>
        <w:jc w:val="both"/>
        <w:rPr>
          <w:sz w:val="20"/>
          <w:szCs w:val="20"/>
          <w:lang w:val="en-GB"/>
        </w:rPr>
      </w:pPr>
      <w:r>
        <w:rPr>
          <w:sz w:val="20"/>
          <w:szCs w:val="20"/>
          <w:lang w:val="en-GB"/>
        </w:rPr>
        <w:t>Introduction</w:t>
      </w:r>
    </w:p>
    <w:p w:rsidR="008F0738" w:rsidRDefault="008F0738">
      <w:pPr>
        <w:spacing w:after="120"/>
        <w:jc w:val="both"/>
        <w:rPr>
          <w:sz w:val="20"/>
          <w:szCs w:val="20"/>
          <w:lang w:val="en-GB"/>
        </w:rPr>
      </w:pPr>
    </w:p>
    <w:p w:rsidR="008F0738" w:rsidRDefault="00000000">
      <w:pPr>
        <w:spacing w:after="120"/>
        <w:jc w:val="both"/>
        <w:rPr>
          <w:sz w:val="20"/>
          <w:szCs w:val="20"/>
          <w:lang w:val="en-GB"/>
        </w:rPr>
      </w:pPr>
      <w:r>
        <w:rPr>
          <w:sz w:val="20"/>
          <w:szCs w:val="20"/>
          <w:lang w:val="en-GB"/>
        </w:rPr>
        <w:t>For several years, the FFVoile has implemented the semi-direct judgment system in fleet racing regattas.</w:t>
      </w:r>
    </w:p>
    <w:p w:rsidR="008F0738" w:rsidRDefault="00000000">
      <w:pPr>
        <w:spacing w:after="120"/>
        <w:jc w:val="both"/>
        <w:rPr>
          <w:sz w:val="20"/>
          <w:szCs w:val="20"/>
          <w:lang w:val="en-GB"/>
        </w:rPr>
      </w:pPr>
      <w:r>
        <w:rPr>
          <w:sz w:val="20"/>
          <w:szCs w:val="20"/>
          <w:lang w:val="en-GB"/>
        </w:rPr>
        <w:t>This penalty system is useful in larger fleets in which the judges on the water cannot realistically cover the entire fleet, by offering competitors who have not received a response on the water the possibility of obtaining a classic protest committee hearing.</w:t>
      </w:r>
    </w:p>
    <w:p w:rsidR="008F0738" w:rsidRDefault="00000000">
      <w:pPr>
        <w:spacing w:after="120"/>
        <w:jc w:val="both"/>
        <w:rPr>
          <w:sz w:val="20"/>
          <w:szCs w:val="20"/>
          <w:lang w:val="en-GB"/>
        </w:rPr>
      </w:pPr>
      <w:r>
        <w:rPr>
          <w:sz w:val="20"/>
          <w:szCs w:val="20"/>
          <w:lang w:val="en-GB"/>
        </w:rPr>
        <w:t xml:space="preserve">This version of the Semi-Direct Appendix 2025–2028 – </w:t>
      </w:r>
      <w:r>
        <w:rPr>
          <w:b/>
          <w:bCs/>
          <w:sz w:val="20"/>
          <w:szCs w:val="20"/>
          <w:lang w:val="en-GB"/>
        </w:rPr>
        <w:t xml:space="preserve">July 2025 </w:t>
      </w:r>
      <w:r>
        <w:rPr>
          <w:sz w:val="20"/>
          <w:szCs w:val="20"/>
          <w:lang w:val="en-GB"/>
        </w:rPr>
        <w:t>differs from the 2021–2024 version in several ways:</w:t>
      </w:r>
    </w:p>
    <w:p w:rsidR="008F0738" w:rsidRDefault="00000000">
      <w:pPr>
        <w:pStyle w:val="Paragraphedeliste"/>
        <w:numPr>
          <w:ilvl w:val="0"/>
          <w:numId w:val="1"/>
        </w:numPr>
        <w:spacing w:after="120"/>
        <w:jc w:val="both"/>
        <w:rPr>
          <w:sz w:val="20"/>
          <w:szCs w:val="20"/>
          <w:lang w:val="en-GB"/>
        </w:rPr>
      </w:pPr>
      <w:r>
        <w:rPr>
          <w:sz w:val="20"/>
          <w:szCs w:val="20"/>
          <w:lang w:val="en-GB"/>
        </w:rPr>
        <w:t>The text has been harmonised with that of Appendix UF, as it appears less and less necessary to have different texts dealing with the same subjects.</w:t>
      </w:r>
    </w:p>
    <w:p w:rsidR="008F0738" w:rsidRDefault="00000000">
      <w:pPr>
        <w:pStyle w:val="Paragraphedeliste"/>
        <w:numPr>
          <w:ilvl w:val="0"/>
          <w:numId w:val="1"/>
        </w:numPr>
        <w:spacing w:after="120"/>
        <w:jc w:val="both"/>
        <w:rPr>
          <w:sz w:val="20"/>
          <w:szCs w:val="20"/>
          <w:lang w:val="en-GB"/>
        </w:rPr>
      </w:pPr>
      <w:r>
        <w:rPr>
          <w:sz w:val="20"/>
          <w:szCs w:val="20"/>
          <w:lang w:val="en-GB"/>
        </w:rPr>
        <w:t>To maintain the fundamental concept of Appendix SD that, in the absence of a response from a judge on the water, a hearing may be opened, rules SD2(b) and SD6 specify: “except for incidents for which no action was taken by the jury on the water.”</w:t>
      </w:r>
    </w:p>
    <w:p w:rsidR="008F0738" w:rsidRDefault="00000000">
      <w:pPr>
        <w:pStyle w:val="Paragraphedeliste"/>
        <w:numPr>
          <w:ilvl w:val="0"/>
          <w:numId w:val="1"/>
        </w:numPr>
        <w:spacing w:after="120"/>
        <w:jc w:val="both"/>
        <w:rPr>
          <w:sz w:val="20"/>
          <w:szCs w:val="20"/>
          <w:lang w:val="en-GB"/>
        </w:rPr>
      </w:pPr>
      <w:r>
        <w:rPr>
          <w:sz w:val="20"/>
          <w:szCs w:val="20"/>
          <w:lang w:val="en-GB"/>
        </w:rPr>
        <w:t>Judges use a green-and-white flag under rule SD4(a) to indicate that no additional penalty is required and thus close the incident on the water, again to harmonize practices.</w:t>
      </w:r>
    </w:p>
    <w:p w:rsidR="008F0738" w:rsidRDefault="00000000">
      <w:pPr>
        <w:pStyle w:val="Paragraphedeliste"/>
        <w:numPr>
          <w:ilvl w:val="0"/>
          <w:numId w:val="1"/>
        </w:numPr>
        <w:spacing w:after="120"/>
        <w:jc w:val="both"/>
        <w:rPr>
          <w:sz w:val="20"/>
          <w:szCs w:val="20"/>
          <w:lang w:val="en-GB"/>
        </w:rPr>
      </w:pPr>
      <w:r>
        <w:rPr>
          <w:sz w:val="20"/>
          <w:szCs w:val="20"/>
          <w:lang w:val="en-GB"/>
        </w:rPr>
        <w:t>Appendix UF wording has been included at the end of rule SD3 for a boat that has not taken, or not correctly taken, its penalty. Each time a red flag is displayed, the initial penalty is cancelled.</w:t>
      </w:r>
    </w:p>
    <w:p w:rsidR="008F0738" w:rsidRDefault="00000000">
      <w:pPr>
        <w:spacing w:after="120"/>
        <w:jc w:val="both"/>
        <w:rPr>
          <w:sz w:val="20"/>
          <w:szCs w:val="20"/>
          <w:lang w:val="en-GB"/>
        </w:rPr>
      </w:pPr>
      <w:r>
        <w:rPr>
          <w:sz w:val="20"/>
          <w:szCs w:val="20"/>
          <w:lang w:val="en-GB"/>
        </w:rPr>
        <w:t>Reminder:</w:t>
      </w:r>
    </w:p>
    <w:p w:rsidR="008F0738" w:rsidRDefault="00000000">
      <w:pPr>
        <w:pStyle w:val="Paragraphedeliste"/>
        <w:numPr>
          <w:ilvl w:val="0"/>
          <w:numId w:val="1"/>
        </w:numPr>
        <w:spacing w:after="120"/>
        <w:jc w:val="both"/>
        <w:rPr>
          <w:sz w:val="20"/>
          <w:szCs w:val="20"/>
          <w:lang w:val="en-GB"/>
        </w:rPr>
      </w:pPr>
      <w:r>
        <w:rPr>
          <w:sz w:val="20"/>
          <w:szCs w:val="20"/>
          <w:lang w:val="en-GB"/>
        </w:rPr>
        <w:t>The use of this appendix at an event is subject to the prior written agreement of the CCA (Commission Centrale d’Arbitrage, the french race officials committee) to ensure that the necessary conditions for its application are met, both for competitors and for officials.</w:t>
      </w:r>
    </w:p>
    <w:p w:rsidR="008F0738" w:rsidRDefault="00000000">
      <w:pPr>
        <w:pStyle w:val="Paragraphedeliste"/>
        <w:numPr>
          <w:ilvl w:val="0"/>
          <w:numId w:val="1"/>
        </w:numPr>
        <w:spacing w:after="120"/>
        <w:jc w:val="both"/>
        <w:rPr>
          <w:sz w:val="20"/>
          <w:szCs w:val="20"/>
          <w:lang w:val="en-GB"/>
        </w:rPr>
      </w:pPr>
      <w:r>
        <w:rPr>
          <w:sz w:val="20"/>
          <w:szCs w:val="20"/>
          <w:lang w:val="en-GB"/>
        </w:rPr>
        <w:t>The Notice of Race or the Sailing Instructions must specify that the “Semi-Direct Judgment Appendix” apply, as well as part of Appendix P (see introduction of Annex P).</w:t>
      </w:r>
    </w:p>
    <w:p w:rsidR="008F0738" w:rsidRDefault="00000000">
      <w:pPr>
        <w:pStyle w:val="Paragraphedeliste"/>
        <w:spacing w:after="120"/>
        <w:jc w:val="both"/>
        <w:rPr>
          <w:sz w:val="20"/>
          <w:szCs w:val="20"/>
          <w:lang w:val="en-GB"/>
        </w:rPr>
      </w:pPr>
      <w:r>
        <w:rPr>
          <w:sz w:val="20"/>
          <w:szCs w:val="20"/>
          <w:lang w:val="en-GB"/>
        </w:rPr>
        <w:t>To do so, add to sub-paragraph “X.Y On-the-Water Judgment” of paragraph “X. Penalty System”:</w:t>
      </w:r>
    </w:p>
    <w:p w:rsidR="008F0738" w:rsidRDefault="00000000">
      <w:pPr>
        <w:pStyle w:val="Paragraphedeliste"/>
        <w:spacing w:after="120"/>
        <w:jc w:val="both"/>
        <w:rPr>
          <w:sz w:val="20"/>
          <w:szCs w:val="20"/>
          <w:lang w:val="en-GB"/>
        </w:rPr>
      </w:pPr>
      <w:r>
        <w:rPr>
          <w:sz w:val="20"/>
          <w:szCs w:val="20"/>
          <w:lang w:val="en-GB"/>
        </w:rPr>
        <w:t>“Appendix Semi-Direct Judgment applies and, if the class rules so provide, the requirements of RRS P5 apply to rule SD3.”</w:t>
      </w:r>
    </w:p>
    <w:p w:rsidR="008F0738" w:rsidRDefault="00000000">
      <w:pPr>
        <w:pStyle w:val="Paragraphedeliste"/>
        <w:numPr>
          <w:ilvl w:val="0"/>
          <w:numId w:val="1"/>
        </w:numPr>
        <w:spacing w:after="120"/>
        <w:jc w:val="both"/>
        <w:rPr>
          <w:sz w:val="20"/>
          <w:szCs w:val="20"/>
          <w:lang w:val="en-GB"/>
        </w:rPr>
      </w:pPr>
      <w:r>
        <w:rPr>
          <w:sz w:val="20"/>
          <w:szCs w:val="20"/>
          <w:lang w:val="en-GB"/>
        </w:rPr>
        <w:t>The text below must be added, in full and without modification, as a specific appendix to the Sailing Instructions: the “Appendix Semi-Direct Judgment Appendix.”</w:t>
      </w:r>
    </w:p>
    <w:p w:rsidR="008F0738" w:rsidRDefault="00000000">
      <w:pPr>
        <w:pStyle w:val="Paragraphedeliste"/>
        <w:numPr>
          <w:ilvl w:val="0"/>
          <w:numId w:val="1"/>
        </w:numPr>
        <w:spacing w:after="120"/>
        <w:jc w:val="both"/>
        <w:rPr>
          <w:sz w:val="20"/>
          <w:szCs w:val="20"/>
          <w:lang w:val="en-GB"/>
        </w:rPr>
      </w:pPr>
      <w:r>
        <w:rPr>
          <w:sz w:val="20"/>
          <w:szCs w:val="20"/>
          <w:lang w:val="en-GB"/>
        </w:rPr>
        <w:t xml:space="preserve">Any suggestions for modifications may be sent to </w:t>
      </w:r>
      <w:hyperlink r:id="rId7">
        <w:r w:rsidR="008F0738">
          <w:rPr>
            <w:rStyle w:val="Lienhypertexte"/>
            <w:sz w:val="20"/>
            <w:szCs w:val="20"/>
            <w:lang w:val="en-GB"/>
          </w:rPr>
          <w:t>cca@ffvoile.fr</w:t>
        </w:r>
      </w:hyperlink>
      <w:r>
        <w:rPr>
          <w:sz w:val="20"/>
          <w:szCs w:val="20"/>
          <w:lang w:val="en-GB"/>
        </w:rPr>
        <w:t>.</w:t>
      </w:r>
    </w:p>
    <w:p w:rsidR="008F0738" w:rsidRDefault="008F0738">
      <w:pPr>
        <w:spacing w:after="120"/>
        <w:ind w:left="360"/>
        <w:jc w:val="both"/>
        <w:rPr>
          <w:sz w:val="20"/>
          <w:szCs w:val="20"/>
          <w:lang w:val="en-GB"/>
        </w:rPr>
      </w:pPr>
    </w:p>
    <w:p w:rsidR="008F0738" w:rsidRDefault="00000000">
      <w:pPr>
        <w:spacing w:after="120"/>
        <w:ind w:left="360"/>
        <w:jc w:val="both"/>
        <w:rPr>
          <w:rStyle w:val="Lienhypertexte"/>
          <w:sz w:val="20"/>
          <w:szCs w:val="20"/>
          <w:lang w:val="en-GB"/>
        </w:rPr>
      </w:pPr>
      <w:r>
        <w:rPr>
          <w:sz w:val="20"/>
          <w:szCs w:val="20"/>
          <w:lang w:val="en-GB"/>
        </w:rPr>
        <w:t xml:space="preserve">As this appendix evolves over time based on experience and feedback, it is the responsibility of Race Committees, who write the event’s Sailing Instructions, to ensure that the version used is indeed the latest version available on the website: </w:t>
      </w:r>
      <w:r>
        <w:rPr>
          <w:rStyle w:val="apple-converted-space"/>
          <w:rFonts w:ascii="ArialMT" w:eastAsia="font873" w:hAnsi="ArialMT"/>
          <w:color w:val="0000FF"/>
          <w:sz w:val="20"/>
          <w:szCs w:val="20"/>
          <w:u w:val="single"/>
          <w:lang w:val="en-GB"/>
        </w:rPr>
        <w:t> </w:t>
      </w:r>
      <w:hyperlink r:id="rId8">
        <w:r w:rsidR="008F0738">
          <w:rPr>
            <w:rStyle w:val="Lienhypertexte"/>
            <w:sz w:val="20"/>
            <w:szCs w:val="20"/>
            <w:lang w:val="en-GB"/>
          </w:rPr>
          <w:t>http://espaces.ffvoile.fr/media/87955/Annexe-jugement-semi-direct-IC.pdf</w:t>
        </w:r>
      </w:hyperlink>
    </w:p>
    <w:p w:rsidR="008F0738" w:rsidRDefault="008F0738">
      <w:pPr>
        <w:suppressAutoHyphens w:val="0"/>
        <w:spacing w:after="120"/>
        <w:rPr>
          <w:rFonts w:cs="Arial"/>
          <w:b/>
          <w:sz w:val="20"/>
          <w:szCs w:val="20"/>
          <w:lang w:val="en-GB"/>
        </w:rPr>
      </w:pPr>
    </w:p>
    <w:p w:rsidR="008F0738" w:rsidRDefault="00000000">
      <w:pPr>
        <w:suppressAutoHyphens w:val="0"/>
        <w:rPr>
          <w:rFonts w:cs="Arial"/>
          <w:b/>
          <w:sz w:val="20"/>
          <w:szCs w:val="20"/>
          <w:lang w:val="en-GB"/>
        </w:rPr>
      </w:pPr>
      <w:r>
        <w:br w:type="page"/>
      </w:r>
    </w:p>
    <w:p w:rsidR="008F0738" w:rsidRDefault="00000000">
      <w:pPr>
        <w:tabs>
          <w:tab w:val="left" w:pos="851"/>
        </w:tabs>
        <w:spacing w:after="120"/>
        <w:ind w:left="1418" w:right="1417"/>
        <w:jc w:val="center"/>
        <w:rPr>
          <w:rFonts w:cs="Arial"/>
          <w:b/>
          <w:sz w:val="20"/>
          <w:szCs w:val="20"/>
          <w:lang w:val="en-GB"/>
        </w:rPr>
      </w:pPr>
      <w:r>
        <w:rPr>
          <w:rFonts w:cs="Arial"/>
          <w:b/>
          <w:sz w:val="20"/>
          <w:szCs w:val="20"/>
          <w:lang w:val="en-GB"/>
        </w:rPr>
        <w:lastRenderedPageBreak/>
        <w:t>APPENDIX SD “SEMI-DIRECT JUDGMENT”</w:t>
      </w:r>
    </w:p>
    <w:p w:rsidR="008F0738" w:rsidRDefault="008F0738">
      <w:pPr>
        <w:tabs>
          <w:tab w:val="left" w:pos="851"/>
        </w:tabs>
        <w:spacing w:after="120"/>
        <w:ind w:left="851" w:hanging="851"/>
        <w:jc w:val="both"/>
        <w:rPr>
          <w:i/>
          <w:sz w:val="20"/>
          <w:szCs w:val="20"/>
          <w:lang w:val="en-GB"/>
        </w:rPr>
      </w:pPr>
    </w:p>
    <w:p w:rsidR="008F0738" w:rsidRDefault="00000000">
      <w:pPr>
        <w:spacing w:after="120"/>
        <w:jc w:val="both"/>
        <w:rPr>
          <w:i/>
          <w:sz w:val="20"/>
          <w:szCs w:val="20"/>
          <w:lang w:val="en-GB"/>
        </w:rPr>
      </w:pPr>
      <w:r>
        <w:rPr>
          <w:i/>
          <w:sz w:val="20"/>
          <w:szCs w:val="20"/>
          <w:lang w:val="en-GB"/>
        </w:rPr>
        <w:t>If this appendix applies, this must be stated in the Notice of Race or the Sailing Instructions, and the text below must be included in the Sailing Instructions.</w:t>
      </w:r>
    </w:p>
    <w:p w:rsidR="008F0738" w:rsidRDefault="008F0738">
      <w:pPr>
        <w:tabs>
          <w:tab w:val="left" w:pos="851"/>
        </w:tabs>
        <w:spacing w:after="120"/>
        <w:ind w:left="851" w:hanging="851"/>
        <w:jc w:val="both"/>
        <w:rPr>
          <w:i/>
          <w:sz w:val="20"/>
          <w:szCs w:val="20"/>
          <w:lang w:val="en-GB"/>
        </w:rPr>
      </w:pPr>
    </w:p>
    <w:p w:rsidR="008F0738" w:rsidRDefault="00000000">
      <w:pPr>
        <w:tabs>
          <w:tab w:val="left" w:pos="851"/>
        </w:tabs>
        <w:spacing w:after="120"/>
        <w:ind w:left="851" w:hanging="851"/>
        <w:jc w:val="both"/>
        <w:rPr>
          <w:i/>
          <w:sz w:val="20"/>
          <w:szCs w:val="20"/>
          <w:lang w:val="en-GB"/>
        </w:rPr>
      </w:pPr>
      <w:r>
        <w:rPr>
          <w:i/>
          <w:sz w:val="20"/>
          <w:szCs w:val="20"/>
          <w:lang w:val="en-GB"/>
        </w:rPr>
        <w:t>No modifications to the text below are permitted without the written approval of the CCA.</w:t>
      </w:r>
    </w:p>
    <w:p w:rsidR="008F0738" w:rsidRDefault="00000000">
      <w:pPr>
        <w:tabs>
          <w:tab w:val="left" w:pos="851"/>
        </w:tabs>
        <w:spacing w:after="120"/>
        <w:ind w:left="851" w:hanging="851"/>
        <w:jc w:val="both"/>
        <w:rPr>
          <w:i/>
          <w:sz w:val="20"/>
          <w:szCs w:val="20"/>
          <w:lang w:val="en-GB"/>
        </w:rPr>
      </w:pPr>
      <w:r>
        <w:rPr>
          <w:i/>
          <w:sz w:val="20"/>
          <w:szCs w:val="20"/>
          <w:lang w:val="en-GB"/>
        </w:rPr>
        <w:t>Version: July 2025</w:t>
      </w:r>
    </w:p>
    <w:p w:rsidR="008F0738" w:rsidRDefault="008F0738">
      <w:pPr>
        <w:tabs>
          <w:tab w:val="left" w:pos="851"/>
        </w:tabs>
        <w:spacing w:after="120"/>
        <w:ind w:left="851" w:hanging="851"/>
        <w:jc w:val="both"/>
        <w:rPr>
          <w:i/>
          <w:sz w:val="20"/>
          <w:szCs w:val="20"/>
          <w:lang w:val="en-GB"/>
        </w:rPr>
      </w:pPr>
    </w:p>
    <w:p w:rsidR="008F0738" w:rsidRDefault="00000000">
      <w:pPr>
        <w:spacing w:after="120"/>
        <w:ind w:left="851" w:hanging="851"/>
        <w:jc w:val="both"/>
        <w:rPr>
          <w:b/>
          <w:bCs/>
          <w:sz w:val="20"/>
          <w:szCs w:val="20"/>
          <w:lang w:val="en-GB"/>
        </w:rPr>
      </w:pPr>
      <w:r>
        <w:rPr>
          <w:b/>
          <w:bCs/>
          <w:sz w:val="20"/>
          <w:szCs w:val="20"/>
          <w:lang w:val="en-GB"/>
        </w:rPr>
        <w:t>SD1</w:t>
      </w:r>
      <w:r>
        <w:rPr>
          <w:b/>
          <w:bCs/>
          <w:sz w:val="20"/>
          <w:szCs w:val="20"/>
          <w:lang w:val="en-GB"/>
        </w:rPr>
        <w:tab/>
      </w:r>
      <w:r>
        <w:rPr>
          <w:sz w:val="20"/>
          <w:szCs w:val="20"/>
          <w:lang w:val="en-GB"/>
        </w:rPr>
        <w:t>Rule 44.1 is changed as follows: “A boat may take a penalty when she may have broken one or more rules of Part 2 in an incident while racing (except rule 14 when she has caused serious damage or injury), rule 31 or rule 42. However,</w:t>
      </w:r>
    </w:p>
    <w:p w:rsidR="008F0738" w:rsidRDefault="00000000">
      <w:pPr>
        <w:spacing w:after="120"/>
        <w:ind w:left="851" w:hanging="142"/>
        <w:jc w:val="both"/>
        <w:rPr>
          <w:sz w:val="20"/>
          <w:szCs w:val="20"/>
          <w:lang w:val="en-GB"/>
        </w:rPr>
      </w:pPr>
      <w:r>
        <w:rPr>
          <w:sz w:val="20"/>
          <w:szCs w:val="20"/>
          <w:lang w:val="en-GB"/>
        </w:rPr>
        <w:tab/>
        <w:t>(a) when she may have broken a rule of Part 2 and rule 31 in the same incident, she need not take a penalty for breaking rule 31;</w:t>
      </w:r>
    </w:p>
    <w:p w:rsidR="008F0738" w:rsidRDefault="00000000">
      <w:pPr>
        <w:spacing w:after="120"/>
        <w:ind w:left="851" w:hanging="567"/>
        <w:jc w:val="both"/>
        <w:rPr>
          <w:sz w:val="20"/>
          <w:szCs w:val="20"/>
          <w:lang w:val="en-GB"/>
        </w:rPr>
      </w:pPr>
      <w:r>
        <w:rPr>
          <w:sz w:val="20"/>
          <w:szCs w:val="20"/>
          <w:lang w:val="en-GB"/>
        </w:rPr>
        <w:tab/>
        <w:t>(b) if she has caused injury or serious damage, or if, despite taking a penalty, gained a significant advantage in the race or series through her breach, her penalty shall be to retire.”</w:t>
      </w:r>
    </w:p>
    <w:p w:rsidR="008F0738" w:rsidRDefault="00000000" w:rsidP="00A21D4F">
      <w:pPr>
        <w:spacing w:after="120"/>
        <w:ind w:left="851"/>
        <w:jc w:val="both"/>
        <w:rPr>
          <w:sz w:val="20"/>
          <w:szCs w:val="20"/>
          <w:lang w:val="en-GB"/>
        </w:rPr>
      </w:pPr>
      <w:r>
        <w:rPr>
          <w:sz w:val="20"/>
          <w:szCs w:val="20"/>
          <w:lang w:val="en-GB"/>
        </w:rPr>
        <w:t>The penalty in rule 44.2 is a One-Turn Penalty.</w:t>
      </w:r>
    </w:p>
    <w:p w:rsidR="008F0738" w:rsidRDefault="008F0738">
      <w:pPr>
        <w:spacing w:after="120"/>
        <w:ind w:left="851" w:hanging="567"/>
        <w:jc w:val="both"/>
        <w:rPr>
          <w:sz w:val="20"/>
          <w:szCs w:val="20"/>
          <w:lang w:val="en-GB"/>
        </w:rPr>
      </w:pPr>
    </w:p>
    <w:p w:rsidR="008F0738" w:rsidRDefault="00000000">
      <w:pPr>
        <w:tabs>
          <w:tab w:val="left" w:pos="851"/>
        </w:tabs>
        <w:spacing w:after="120"/>
        <w:ind w:left="851" w:hanging="851"/>
        <w:jc w:val="both"/>
        <w:rPr>
          <w:sz w:val="20"/>
          <w:szCs w:val="20"/>
          <w:lang w:val="en-GB"/>
        </w:rPr>
      </w:pPr>
      <w:r>
        <w:rPr>
          <w:b/>
          <w:bCs/>
          <w:sz w:val="20"/>
          <w:szCs w:val="20"/>
          <w:lang w:val="en-GB"/>
        </w:rPr>
        <w:t>SD2</w:t>
      </w:r>
      <w:r>
        <w:rPr>
          <w:sz w:val="20"/>
          <w:szCs w:val="20"/>
          <w:lang w:val="en-GB"/>
        </w:rPr>
        <w:tab/>
        <w:t>(a) While racing, a boat may protest</w:t>
      </w:r>
    </w:p>
    <w:p w:rsidR="008F0738" w:rsidRDefault="00000000">
      <w:pPr>
        <w:spacing w:after="120"/>
        <w:ind w:left="1134"/>
        <w:jc w:val="both"/>
        <w:rPr>
          <w:sz w:val="20"/>
          <w:szCs w:val="20"/>
          <w:lang w:val="en-GB"/>
        </w:rPr>
      </w:pPr>
      <w:r>
        <w:rPr>
          <w:sz w:val="20"/>
          <w:szCs w:val="20"/>
          <w:lang w:val="en-GB"/>
        </w:rPr>
        <w:t>- another boat under a rule of Part 2 (except rule 14) for an incident in which she was involved,</w:t>
      </w:r>
    </w:p>
    <w:p w:rsidR="008F0738" w:rsidRDefault="00000000">
      <w:pPr>
        <w:spacing w:after="120"/>
        <w:ind w:left="1134"/>
        <w:jc w:val="both"/>
        <w:rPr>
          <w:sz w:val="20"/>
          <w:szCs w:val="20"/>
          <w:lang w:val="en-GB"/>
        </w:rPr>
      </w:pPr>
      <w:r>
        <w:rPr>
          <w:sz w:val="20"/>
          <w:szCs w:val="20"/>
          <w:lang w:val="en-GB"/>
        </w:rPr>
        <w:t>- or under rule 31,</w:t>
      </w:r>
    </w:p>
    <w:p w:rsidR="008F0738" w:rsidRDefault="00000000">
      <w:pPr>
        <w:spacing w:after="120"/>
        <w:ind w:left="1134"/>
        <w:jc w:val="both"/>
        <w:rPr>
          <w:sz w:val="20"/>
          <w:szCs w:val="20"/>
          <w:lang w:val="en-GB"/>
        </w:rPr>
      </w:pPr>
      <w:r>
        <w:rPr>
          <w:sz w:val="20"/>
          <w:szCs w:val="20"/>
          <w:lang w:val="en-GB"/>
        </w:rPr>
        <w:t>- or under rule 42 modified according to RRS P5 if provided for in the class rules.</w:t>
      </w:r>
    </w:p>
    <w:p w:rsidR="008F0738" w:rsidRDefault="00000000">
      <w:pPr>
        <w:spacing w:after="120"/>
        <w:ind w:left="1134"/>
        <w:jc w:val="both"/>
        <w:rPr>
          <w:sz w:val="20"/>
          <w:szCs w:val="20"/>
          <w:lang w:val="en-GB"/>
        </w:rPr>
      </w:pPr>
      <w:r>
        <w:rPr>
          <w:sz w:val="20"/>
          <w:szCs w:val="20"/>
          <w:lang w:val="en-GB"/>
        </w:rPr>
        <w:t>To do so, she shall, for each protest, hail “Protest” and conspicuously display a red flag at the first reasonable opportunity (except if her hull length is 6 m or less). She shall lower the flag before, or at the first reasonable opportunity after, a boat involved in the incident has voluntarily taken a penalty or after a judge’s decision.</w:t>
      </w:r>
    </w:p>
    <w:p w:rsidR="008F0738" w:rsidRDefault="00000000">
      <w:pPr>
        <w:spacing w:after="120"/>
        <w:ind w:left="1134" w:hanging="283"/>
        <w:jc w:val="both"/>
        <w:rPr>
          <w:sz w:val="20"/>
          <w:szCs w:val="20"/>
          <w:lang w:val="en-GB"/>
        </w:rPr>
      </w:pPr>
      <w:r>
        <w:rPr>
          <w:sz w:val="20"/>
          <w:szCs w:val="20"/>
          <w:lang w:val="en-GB"/>
        </w:rPr>
        <w:t>(b) A boat protesting as permitted under rule SD2(a) is not entitled to a hearing, except for incidents for which no action was taken by the jury on the water. Instead, a boat involved in the incident may acknowledge breaking a rule by voluntarily taking a penalty. A judge may penalize any boat that has broken a rule and has not been exonerated, unless the boat has voluntarily taken a penalty.</w:t>
      </w:r>
    </w:p>
    <w:p w:rsidR="008F0738" w:rsidRDefault="008F0738">
      <w:pPr>
        <w:spacing w:after="120"/>
        <w:ind w:left="1134" w:hanging="283"/>
        <w:jc w:val="both"/>
        <w:rPr>
          <w:sz w:val="20"/>
          <w:szCs w:val="20"/>
          <w:lang w:val="en-GB"/>
        </w:rPr>
      </w:pPr>
    </w:p>
    <w:p w:rsidR="008F0738" w:rsidRDefault="00000000">
      <w:pPr>
        <w:spacing w:after="120"/>
        <w:ind w:left="851" w:hanging="851"/>
        <w:jc w:val="both"/>
        <w:rPr>
          <w:sz w:val="20"/>
          <w:szCs w:val="20"/>
          <w:lang w:val="en-GB"/>
        </w:rPr>
      </w:pPr>
      <w:r>
        <w:rPr>
          <w:b/>
          <w:bCs/>
          <w:sz w:val="20"/>
          <w:szCs w:val="20"/>
          <w:lang w:val="en-GB"/>
        </w:rPr>
        <w:t>SD3</w:t>
      </w:r>
      <w:r>
        <w:rPr>
          <w:sz w:val="20"/>
          <w:szCs w:val="20"/>
          <w:lang w:val="en-GB"/>
        </w:rPr>
        <w:tab/>
        <w:t>(a) When a boat</w:t>
      </w:r>
    </w:p>
    <w:p w:rsidR="008F0738" w:rsidRDefault="00000000">
      <w:pPr>
        <w:spacing w:after="120"/>
        <w:ind w:left="1134"/>
        <w:jc w:val="both"/>
        <w:rPr>
          <w:sz w:val="20"/>
          <w:szCs w:val="20"/>
          <w:lang w:val="en-GB"/>
        </w:rPr>
      </w:pPr>
      <w:r>
        <w:rPr>
          <w:sz w:val="20"/>
          <w:szCs w:val="20"/>
          <w:lang w:val="en-GB"/>
        </w:rPr>
        <w:t>1. breaks a Sailing Instruction or a class rule governing the use of the bowsprit,</w:t>
      </w:r>
    </w:p>
    <w:p w:rsidR="008F0738" w:rsidRDefault="00000000">
      <w:pPr>
        <w:spacing w:after="120"/>
        <w:ind w:left="1134"/>
        <w:jc w:val="both"/>
        <w:rPr>
          <w:sz w:val="20"/>
          <w:szCs w:val="20"/>
          <w:lang w:val="en-GB"/>
        </w:rPr>
      </w:pPr>
      <w:r>
        <w:rPr>
          <w:sz w:val="20"/>
          <w:szCs w:val="20"/>
          <w:lang w:val="en-GB"/>
        </w:rPr>
        <w:t>2. breaks rule 31 and does not take a penalty,</w:t>
      </w:r>
    </w:p>
    <w:p w:rsidR="008F0738" w:rsidRDefault="00000000">
      <w:pPr>
        <w:spacing w:after="120"/>
        <w:ind w:left="1134"/>
        <w:jc w:val="both"/>
        <w:rPr>
          <w:sz w:val="20"/>
          <w:szCs w:val="20"/>
          <w:lang w:val="en-GB"/>
        </w:rPr>
      </w:pPr>
      <w:r>
        <w:rPr>
          <w:sz w:val="20"/>
          <w:szCs w:val="20"/>
          <w:lang w:val="en-GB"/>
        </w:rPr>
        <w:t>3. breaks rule 42,</w:t>
      </w:r>
    </w:p>
    <w:p w:rsidR="008F0738" w:rsidRDefault="00000000">
      <w:pPr>
        <w:spacing w:after="120"/>
        <w:ind w:left="1134"/>
        <w:jc w:val="both"/>
        <w:rPr>
          <w:sz w:val="20"/>
          <w:szCs w:val="20"/>
          <w:lang w:val="en-GB"/>
        </w:rPr>
      </w:pPr>
      <w:r>
        <w:rPr>
          <w:sz w:val="20"/>
          <w:szCs w:val="20"/>
          <w:lang w:val="en-GB"/>
        </w:rPr>
        <w:t>4. breaks rule 49 or a class rule governing crew position,</w:t>
      </w:r>
    </w:p>
    <w:p w:rsidR="008F0738" w:rsidRDefault="00000000">
      <w:pPr>
        <w:spacing w:after="120"/>
        <w:ind w:left="1134"/>
        <w:jc w:val="both"/>
        <w:rPr>
          <w:sz w:val="20"/>
          <w:szCs w:val="20"/>
          <w:lang w:val="en-GB"/>
        </w:rPr>
      </w:pPr>
      <w:r>
        <w:rPr>
          <w:sz w:val="20"/>
          <w:szCs w:val="20"/>
          <w:lang w:val="en-GB"/>
        </w:rPr>
        <w:t>5. gains an advantage despite taking a penalty,</w:t>
      </w:r>
    </w:p>
    <w:p w:rsidR="008F0738" w:rsidRDefault="00000000">
      <w:pPr>
        <w:spacing w:after="120"/>
        <w:ind w:left="1134"/>
        <w:jc w:val="both"/>
        <w:rPr>
          <w:sz w:val="20"/>
          <w:szCs w:val="20"/>
          <w:lang w:val="en-GB"/>
        </w:rPr>
      </w:pPr>
      <w:r>
        <w:rPr>
          <w:sz w:val="20"/>
          <w:szCs w:val="20"/>
          <w:lang w:val="en-GB"/>
        </w:rPr>
        <w:t>6. commits a breach of sportsmanship, or</w:t>
      </w:r>
    </w:p>
    <w:p w:rsidR="008F0738" w:rsidRDefault="00000000">
      <w:pPr>
        <w:spacing w:after="120"/>
        <w:ind w:left="1134"/>
        <w:jc w:val="both"/>
        <w:rPr>
          <w:sz w:val="20"/>
          <w:szCs w:val="20"/>
          <w:lang w:val="en-GB"/>
        </w:rPr>
      </w:pPr>
      <w:r>
        <w:rPr>
          <w:sz w:val="20"/>
          <w:szCs w:val="20"/>
          <w:lang w:val="en-GB"/>
        </w:rPr>
        <w:t>7. breaks rule SD5 or fails to take a penalty when a judge imposed her one,</w:t>
      </w:r>
    </w:p>
    <w:p w:rsidR="008F0738" w:rsidRDefault="008F0738">
      <w:pPr>
        <w:spacing w:after="120"/>
        <w:ind w:left="1134"/>
        <w:jc w:val="both"/>
        <w:rPr>
          <w:sz w:val="20"/>
          <w:szCs w:val="20"/>
          <w:lang w:val="en-GB"/>
        </w:rPr>
      </w:pPr>
    </w:p>
    <w:p w:rsidR="008F0738" w:rsidRDefault="00000000">
      <w:pPr>
        <w:spacing w:after="120"/>
        <w:ind w:left="1134"/>
        <w:jc w:val="both"/>
        <w:rPr>
          <w:sz w:val="20"/>
          <w:szCs w:val="20"/>
          <w:lang w:val="en-GB"/>
        </w:rPr>
      </w:pPr>
      <w:r>
        <w:rPr>
          <w:sz w:val="20"/>
          <w:szCs w:val="20"/>
          <w:lang w:val="en-GB"/>
        </w:rPr>
        <w:t xml:space="preserve">a judge may penalize her without a protest from another boat. The judge may impose one or more penalties, each signalled in accordance with rule SD4(b), or may report the incident to the protest </w:t>
      </w:r>
      <w:r>
        <w:rPr>
          <w:sz w:val="20"/>
          <w:szCs w:val="20"/>
          <w:lang w:val="en-GB"/>
        </w:rPr>
        <w:lastRenderedPageBreak/>
        <w:t>committee for further action. If a boat is penalized under rule SD3(a)(7) for failing to take a penalty or for not taking it correctly, the initial penalty is cancelled.</w:t>
      </w:r>
    </w:p>
    <w:p w:rsidR="008F0738" w:rsidRDefault="00000000">
      <w:pPr>
        <w:spacing w:after="120"/>
        <w:ind w:left="1134" w:hanging="283"/>
        <w:jc w:val="both"/>
        <w:rPr>
          <w:sz w:val="20"/>
          <w:szCs w:val="20"/>
          <w:lang w:val="en-GB"/>
        </w:rPr>
      </w:pPr>
      <w:r>
        <w:rPr>
          <w:sz w:val="20"/>
          <w:szCs w:val="20"/>
          <w:lang w:val="en-GB"/>
        </w:rPr>
        <w:t>(b) A judge who decides, based on his personal observation or on a report received from any source, that a boat may have broken a rule other than a rule listed in SD2(a), may inform the protest committee so that it may take further action under rule 60.1. However, the judge will not inform the protest committee of an alleged breach of rule 14 unless there is damage or injury.</w:t>
      </w:r>
    </w:p>
    <w:p w:rsidR="008F0738" w:rsidRDefault="008F0738">
      <w:pPr>
        <w:tabs>
          <w:tab w:val="left" w:pos="851"/>
        </w:tabs>
        <w:spacing w:after="120"/>
        <w:jc w:val="both"/>
        <w:rPr>
          <w:sz w:val="20"/>
          <w:szCs w:val="20"/>
          <w:lang w:val="en-GB"/>
        </w:rPr>
      </w:pPr>
    </w:p>
    <w:p w:rsidR="008F0738" w:rsidRDefault="00000000">
      <w:pPr>
        <w:spacing w:after="120"/>
        <w:ind w:left="851" w:hanging="851"/>
        <w:jc w:val="both"/>
        <w:rPr>
          <w:sz w:val="20"/>
          <w:szCs w:val="20"/>
          <w:lang w:val="en-GB"/>
        </w:rPr>
      </w:pPr>
      <w:r>
        <w:rPr>
          <w:b/>
          <w:bCs/>
          <w:sz w:val="20"/>
          <w:szCs w:val="20"/>
          <w:lang w:val="en-GB"/>
        </w:rPr>
        <w:t>SD4</w:t>
      </w:r>
      <w:r>
        <w:rPr>
          <w:sz w:val="20"/>
          <w:szCs w:val="20"/>
          <w:lang w:val="en-GB"/>
        </w:rPr>
        <w:tab/>
        <w:t>A judge shall signal a decision as follows:</w:t>
      </w:r>
    </w:p>
    <w:p w:rsidR="008F0738" w:rsidRDefault="00000000">
      <w:pPr>
        <w:spacing w:after="120"/>
        <w:ind w:left="851"/>
        <w:jc w:val="both"/>
        <w:rPr>
          <w:sz w:val="20"/>
          <w:szCs w:val="20"/>
          <w:lang w:val="en-GB"/>
        </w:rPr>
      </w:pPr>
      <w:r>
        <w:rPr>
          <w:sz w:val="20"/>
          <w:szCs w:val="20"/>
          <w:lang w:val="en-GB"/>
        </w:rPr>
        <w:t>(a) a green-and-white flag with one long sound signal means “no penalty”;</w:t>
      </w:r>
    </w:p>
    <w:p w:rsidR="008F0738" w:rsidRDefault="00000000">
      <w:pPr>
        <w:spacing w:after="120"/>
        <w:ind w:left="851"/>
        <w:jc w:val="both"/>
        <w:rPr>
          <w:sz w:val="20"/>
          <w:szCs w:val="20"/>
          <w:lang w:val="en-GB"/>
        </w:rPr>
      </w:pPr>
      <w:r>
        <w:rPr>
          <w:sz w:val="20"/>
          <w:szCs w:val="20"/>
          <w:lang w:val="en-GB"/>
        </w:rPr>
        <w:t>(b) a red flag with one long sound signal means “a penalty has been imposed or remains outstanding.” The judge will hail or identify each such boat.</w:t>
      </w:r>
    </w:p>
    <w:p w:rsidR="008F0738" w:rsidRDefault="008F0738">
      <w:pPr>
        <w:spacing w:after="120"/>
        <w:ind w:left="851" w:hanging="851"/>
        <w:jc w:val="both"/>
        <w:rPr>
          <w:sz w:val="20"/>
          <w:szCs w:val="20"/>
          <w:lang w:val="en-GB"/>
        </w:rPr>
      </w:pPr>
    </w:p>
    <w:p w:rsidR="008F0738" w:rsidRDefault="00000000">
      <w:pPr>
        <w:spacing w:after="120"/>
        <w:ind w:left="851" w:hanging="851"/>
        <w:jc w:val="both"/>
        <w:rPr>
          <w:sz w:val="20"/>
          <w:szCs w:val="20"/>
          <w:lang w:val="en-GB"/>
        </w:rPr>
      </w:pPr>
      <w:r>
        <w:rPr>
          <w:b/>
          <w:bCs/>
          <w:sz w:val="20"/>
          <w:szCs w:val="20"/>
          <w:lang w:val="en-GB"/>
        </w:rPr>
        <w:t>SD5</w:t>
      </w:r>
      <w:r>
        <w:rPr>
          <w:sz w:val="20"/>
          <w:szCs w:val="20"/>
          <w:lang w:val="en-GB"/>
        </w:rPr>
        <w:tab/>
        <w:t>A boat penalized under rule SD4(b) shall take a penalty.</w:t>
      </w:r>
    </w:p>
    <w:p w:rsidR="008F0738" w:rsidRDefault="008F0738">
      <w:pPr>
        <w:spacing w:after="120"/>
        <w:ind w:left="851" w:hanging="851"/>
        <w:jc w:val="both"/>
        <w:rPr>
          <w:sz w:val="20"/>
          <w:szCs w:val="20"/>
          <w:lang w:val="en-GB"/>
        </w:rPr>
      </w:pPr>
    </w:p>
    <w:p w:rsidR="008F0738" w:rsidRDefault="00000000">
      <w:pPr>
        <w:spacing w:after="120"/>
        <w:ind w:left="851" w:hanging="851"/>
        <w:jc w:val="both"/>
        <w:rPr>
          <w:sz w:val="20"/>
          <w:szCs w:val="20"/>
          <w:lang w:val="en-GB"/>
        </w:rPr>
      </w:pPr>
      <w:r>
        <w:rPr>
          <w:b/>
          <w:bCs/>
          <w:sz w:val="20"/>
          <w:szCs w:val="20"/>
          <w:lang w:val="en-GB"/>
        </w:rPr>
        <w:t>SD6</w:t>
      </w:r>
      <w:r>
        <w:rPr>
          <w:sz w:val="20"/>
          <w:szCs w:val="20"/>
          <w:lang w:val="en-GB"/>
        </w:rPr>
        <w:tab/>
        <w:t>No proceedings of any kind may be taken in relation to the action or inaction of a judge on the water. A boat may protest or request redress for incidents for which no action was taken by the jury on the water in accordance with rule SD2(b).</w:t>
      </w:r>
    </w:p>
    <w:p w:rsidR="008F0738" w:rsidRDefault="008F0738">
      <w:pPr>
        <w:spacing w:after="120"/>
        <w:ind w:left="851"/>
        <w:jc w:val="both"/>
        <w:rPr>
          <w:sz w:val="20"/>
          <w:szCs w:val="20"/>
          <w:lang w:val="en-GB"/>
        </w:rPr>
      </w:pPr>
    </w:p>
    <w:p w:rsidR="008F0738" w:rsidRDefault="00000000">
      <w:pPr>
        <w:spacing w:after="120"/>
        <w:ind w:left="851" w:hanging="851"/>
        <w:jc w:val="both"/>
        <w:rPr>
          <w:sz w:val="20"/>
          <w:szCs w:val="20"/>
          <w:lang w:val="en-GB"/>
        </w:rPr>
      </w:pPr>
      <w:r>
        <w:rPr>
          <w:b/>
          <w:bCs/>
          <w:sz w:val="20"/>
          <w:szCs w:val="20"/>
          <w:lang w:val="en-GB"/>
        </w:rPr>
        <w:t>SD7</w:t>
      </w:r>
      <w:r>
        <w:rPr>
          <w:sz w:val="20"/>
          <w:szCs w:val="20"/>
          <w:lang w:val="en-GB"/>
        </w:rPr>
        <w:tab/>
        <w:t>A boat intending to</w:t>
      </w:r>
    </w:p>
    <w:p w:rsidR="008F0738" w:rsidRDefault="00000000">
      <w:pPr>
        <w:spacing w:after="120"/>
        <w:ind w:left="851"/>
        <w:jc w:val="both"/>
        <w:rPr>
          <w:sz w:val="20"/>
          <w:szCs w:val="20"/>
          <w:lang w:val="en-GB"/>
        </w:rPr>
      </w:pPr>
      <w:r>
        <w:rPr>
          <w:sz w:val="20"/>
          <w:szCs w:val="20"/>
          <w:lang w:val="en-GB"/>
        </w:rPr>
        <w:t>(a) protest another boat under a rule other than rule SD5,</w:t>
      </w:r>
    </w:p>
    <w:p w:rsidR="008F0738" w:rsidRDefault="00000000">
      <w:pPr>
        <w:spacing w:after="120"/>
        <w:ind w:left="851"/>
        <w:jc w:val="both"/>
        <w:rPr>
          <w:sz w:val="20"/>
          <w:szCs w:val="20"/>
          <w:lang w:val="en-GB"/>
        </w:rPr>
      </w:pPr>
      <w:r>
        <w:rPr>
          <w:sz w:val="20"/>
          <w:szCs w:val="20"/>
          <w:lang w:val="en-GB"/>
        </w:rPr>
        <w:t>(b) protest another boat under rule 14 if there was contact that caused damage or injury, or</w:t>
      </w:r>
    </w:p>
    <w:p w:rsidR="008F0738" w:rsidRDefault="00000000">
      <w:pPr>
        <w:spacing w:after="120"/>
        <w:ind w:left="851"/>
        <w:jc w:val="both"/>
        <w:rPr>
          <w:sz w:val="20"/>
          <w:szCs w:val="20"/>
          <w:lang w:val="en-GB"/>
        </w:rPr>
      </w:pPr>
      <w:r>
        <w:rPr>
          <w:sz w:val="20"/>
          <w:szCs w:val="20"/>
          <w:lang w:val="en-GB"/>
        </w:rPr>
        <w:t xml:space="preserve">(c) request redress, </w:t>
      </w:r>
    </w:p>
    <w:p w:rsidR="008F0738" w:rsidRDefault="00000000">
      <w:pPr>
        <w:spacing w:after="120"/>
        <w:ind w:left="851"/>
        <w:jc w:val="both"/>
        <w:rPr>
          <w:sz w:val="20"/>
          <w:szCs w:val="20"/>
          <w:lang w:val="en-GB"/>
        </w:rPr>
      </w:pPr>
      <w:r>
        <w:rPr>
          <w:sz w:val="20"/>
          <w:szCs w:val="20"/>
          <w:lang w:val="en-GB"/>
        </w:rPr>
        <w:t>shall protest or request redress within the time limit applicable to the boat.</w:t>
      </w:r>
    </w:p>
    <w:p w:rsidR="008F0738" w:rsidRDefault="008F0738">
      <w:pPr>
        <w:tabs>
          <w:tab w:val="left" w:pos="851"/>
        </w:tabs>
        <w:spacing w:after="120"/>
        <w:ind w:left="851" w:hanging="851"/>
        <w:jc w:val="both"/>
        <w:rPr>
          <w:sz w:val="20"/>
          <w:szCs w:val="20"/>
          <w:lang w:val="en-GB"/>
        </w:rPr>
      </w:pPr>
    </w:p>
    <w:p w:rsidR="008F0738" w:rsidRDefault="008F0738">
      <w:pPr>
        <w:spacing w:after="120"/>
        <w:jc w:val="both"/>
        <w:rPr>
          <w:sz w:val="20"/>
          <w:szCs w:val="20"/>
        </w:rPr>
      </w:pPr>
    </w:p>
    <w:sectPr w:rsidR="008F073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2341" w:left="991" w:header="708" w:footer="708"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5CE" w:rsidRDefault="007105CE">
      <w:r>
        <w:separator/>
      </w:r>
    </w:p>
  </w:endnote>
  <w:endnote w:type="continuationSeparator" w:id="0">
    <w:p w:rsidR="007105CE" w:rsidRDefault="0071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nt873">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D4F" w:rsidRDefault="00A21D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38" w:rsidRDefault="00C744C5">
    <w:pPr>
      <w:pStyle w:val="Pieddepage"/>
      <w:jc w:val="right"/>
    </w:pPr>
    <w:r>
      <w:rPr>
        <w:noProof/>
      </w:rPr>
      <w:drawing>
        <wp:anchor distT="0" distB="0" distL="0" distR="0" simplePos="0" relativeHeight="251662336" behindDoc="1" locked="0" layoutInCell="0" allowOverlap="1" wp14:anchorId="642DF74D" wp14:editId="52752CBF">
          <wp:simplePos x="0" y="0"/>
          <wp:positionH relativeFrom="column">
            <wp:posOffset>0</wp:posOffset>
          </wp:positionH>
          <wp:positionV relativeFrom="paragraph">
            <wp:posOffset>0</wp:posOffset>
          </wp:positionV>
          <wp:extent cx="7559675" cy="1370330"/>
          <wp:effectExtent l="0" t="0" r="0" b="0"/>
          <wp:wrapNone/>
          <wp:docPr id="548961190" name="Image 54896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3703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38" w:rsidRDefault="00000000">
    <w:pPr>
      <w:pStyle w:val="Pieddepage"/>
    </w:pPr>
    <w:r>
      <w:rPr>
        <w:noProof/>
      </w:rPr>
      <w:drawing>
        <wp:anchor distT="0" distB="0" distL="0" distR="0" simplePos="0" relativeHeight="2" behindDoc="1" locked="0" layoutInCell="1" allowOverlap="1">
          <wp:simplePos x="0" y="0"/>
          <wp:positionH relativeFrom="column">
            <wp:posOffset>-902335</wp:posOffset>
          </wp:positionH>
          <wp:positionV relativeFrom="paragraph">
            <wp:posOffset>-754380</wp:posOffset>
          </wp:positionV>
          <wp:extent cx="7559675" cy="137033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7559675" cy="13703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5CE" w:rsidRDefault="007105CE">
      <w:r>
        <w:separator/>
      </w:r>
    </w:p>
  </w:footnote>
  <w:footnote w:type="continuationSeparator" w:id="0">
    <w:p w:rsidR="007105CE" w:rsidRDefault="0071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38" w:rsidRDefault="008F07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38" w:rsidRDefault="008F07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38" w:rsidRDefault="00000000">
    <w:pPr>
      <w:pStyle w:val="En-tte"/>
    </w:pPr>
    <w:r>
      <w:rPr>
        <w:noProof/>
      </w:rPr>
      <w:drawing>
        <wp:anchor distT="0" distB="0" distL="0" distR="0" simplePos="0" relativeHeight="3" behindDoc="1" locked="0" layoutInCell="1" allowOverlap="1">
          <wp:simplePos x="0" y="0"/>
          <wp:positionH relativeFrom="column">
            <wp:posOffset>-899795</wp:posOffset>
          </wp:positionH>
          <wp:positionV relativeFrom="paragraph">
            <wp:posOffset>-440055</wp:posOffset>
          </wp:positionV>
          <wp:extent cx="7564755" cy="298069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7564755" cy="2980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3A08"/>
    <w:multiLevelType w:val="multilevel"/>
    <w:tmpl w:val="17E624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032033"/>
    <w:multiLevelType w:val="multilevel"/>
    <w:tmpl w:val="E17AC6B2"/>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74130914">
    <w:abstractNumId w:val="1"/>
  </w:num>
  <w:num w:numId="2" w16cid:durableId="176013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38"/>
    <w:rsid w:val="002D038D"/>
    <w:rsid w:val="00337F9D"/>
    <w:rsid w:val="00550B2F"/>
    <w:rsid w:val="007105CE"/>
    <w:rsid w:val="008F0738"/>
    <w:rsid w:val="00A21D4F"/>
    <w:rsid w:val="00C744C5"/>
    <w:rsid w:val="00CD220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1A6C3F-6A07-CA45-BE83-D792FBE8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font873"/>
      <w:sz w:val="22"/>
      <w:szCs w:val="22"/>
      <w:lang w:eastAsia="en-US"/>
    </w:rPr>
  </w:style>
  <w:style w:type="paragraph" w:styleId="Titre1">
    <w:name w:val="heading 1"/>
    <w:basedOn w:val="Normal"/>
    <w:next w:val="Normal"/>
    <w:qFormat/>
    <w:pPr>
      <w:keepNext/>
      <w:keepLines/>
      <w:spacing w:before="300"/>
      <w:outlineLvl w:val="0"/>
    </w:pPr>
    <w:rPr>
      <w:rFonts w:eastAsia="font873"/>
      <w:b/>
      <w:bCs/>
      <w:sz w:val="24"/>
      <w:szCs w:val="28"/>
    </w:rPr>
  </w:style>
  <w:style w:type="paragraph" w:styleId="Titre2">
    <w:name w:val="heading 2"/>
    <w:basedOn w:val="Normal"/>
    <w:next w:val="Normal"/>
    <w:qFormat/>
    <w:pPr>
      <w:keepLines/>
      <w:outlineLvl w:val="1"/>
    </w:pPr>
    <w:rPr>
      <w:rFonts w:eastAsia="font873"/>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Titre1Car">
    <w:name w:val="Titre 1 Car"/>
    <w:qFormat/>
    <w:rPr>
      <w:rFonts w:ascii="Arial" w:eastAsia="font873" w:hAnsi="Arial" w:cs="font873"/>
      <w:b/>
      <w:bCs/>
      <w:sz w:val="24"/>
      <w:szCs w:val="28"/>
    </w:rPr>
  </w:style>
  <w:style w:type="character" w:customStyle="1" w:styleId="Titre2Car">
    <w:name w:val="Titre 2 Car"/>
    <w:qFormat/>
    <w:rPr>
      <w:rFonts w:ascii="Arial" w:eastAsia="font873" w:hAnsi="Arial" w:cs="font873"/>
      <w:bCs/>
      <w:szCs w:val="26"/>
    </w:rPr>
  </w:style>
  <w:style w:type="character" w:customStyle="1" w:styleId="En-tteCar">
    <w:name w:val="En-tête Car"/>
    <w:qFormat/>
    <w:rPr>
      <w:rFonts w:ascii="Arial" w:hAnsi="Arial"/>
    </w:rPr>
  </w:style>
  <w:style w:type="character" w:customStyle="1" w:styleId="PieddepageCar">
    <w:name w:val="Pied de page Car"/>
    <w:qFormat/>
    <w:rPr>
      <w:rFonts w:ascii="Arial" w:hAnsi="Arial"/>
    </w:rPr>
  </w:style>
  <w:style w:type="character" w:customStyle="1" w:styleId="TextedebullesCar">
    <w:name w:val="Texte de bulles Car"/>
    <w:qFormat/>
    <w:rPr>
      <w:rFonts w:ascii="Tahoma" w:hAnsi="Tahoma" w:cs="Tahoma"/>
      <w:sz w:val="16"/>
      <w:szCs w:val="16"/>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Marquedecommentaire1">
    <w:name w:val="Marque de commentaire1"/>
    <w:qFormat/>
    <w:rPr>
      <w:sz w:val="16"/>
      <w:szCs w:val="16"/>
    </w:rPr>
  </w:style>
  <w:style w:type="character" w:customStyle="1" w:styleId="CommentaireCar">
    <w:name w:val="Commentaire Car"/>
    <w:qFormat/>
    <w:rPr>
      <w:rFonts w:ascii="Arial" w:hAnsi="Arial"/>
      <w:sz w:val="20"/>
      <w:szCs w:val="20"/>
    </w:rPr>
  </w:style>
  <w:style w:type="character" w:customStyle="1" w:styleId="ObjetducommentaireCar">
    <w:name w:val="Objet du commentaire Car"/>
    <w:qFormat/>
    <w:rPr>
      <w:rFonts w:ascii="Arial" w:hAnsi="Arial"/>
      <w:b/>
      <w:bCs/>
      <w:sz w:val="20"/>
      <w:szCs w:val="20"/>
    </w:rPr>
  </w:style>
  <w:style w:type="character" w:customStyle="1" w:styleId="NotedebasdepageCar">
    <w:name w:val="Note de bas de page Car"/>
    <w:qFormat/>
    <w:rPr>
      <w:rFonts w:ascii="Arial" w:hAnsi="Arial"/>
      <w:sz w:val="20"/>
      <w:szCs w:val="20"/>
    </w:rPr>
  </w:style>
  <w:style w:type="character" w:customStyle="1" w:styleId="FootnoteCharacters">
    <w:name w:val="Footnote Characters"/>
    <w:qFormat/>
    <w:rPr>
      <w:vertAlign w:val="superscript"/>
    </w:rPr>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character" w:styleId="Numrodeligne">
    <w:name w:val="line number"/>
  </w:style>
  <w:style w:type="character" w:customStyle="1" w:styleId="apple-converted-space">
    <w:name w:val="apple-converted-space"/>
    <w:basedOn w:val="Policepardfaut"/>
    <w:qFormat/>
    <w:rsid w:val="00574E4A"/>
  </w:style>
  <w:style w:type="character" w:styleId="Marquedecommentaire">
    <w:name w:val="annotation reference"/>
    <w:basedOn w:val="Policepardfaut"/>
    <w:uiPriority w:val="99"/>
    <w:semiHidden/>
    <w:unhideWhenUsed/>
    <w:qFormat/>
    <w:rPr>
      <w:sz w:val="16"/>
      <w:szCs w:val="16"/>
    </w:rPr>
  </w:style>
  <w:style w:type="paragraph" w:styleId="Titre">
    <w:name w:val="Title"/>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Titre10">
    <w:name w:val="Titre1"/>
    <w:basedOn w:val="Normal"/>
    <w:next w:val="Corpsdetexte"/>
    <w:qFormat/>
    <w:pPr>
      <w:keepNext/>
      <w:spacing w:before="240" w:after="120"/>
    </w:pPr>
    <w:rPr>
      <w:rFonts w:ascii="Liberation Sans" w:eastAsia="Noto Sans CJK SC" w:hAnsi="Liberation Sans" w:cs="Noto Sans Devanagari"/>
      <w:sz w:val="28"/>
      <w:szCs w:val="28"/>
    </w:rPr>
  </w:style>
  <w:style w:type="paragraph" w:customStyle="1" w:styleId="Paragraphedeliste1">
    <w:name w:val="Paragraphe de liste1"/>
    <w:basedOn w:val="Normal"/>
    <w:qFormat/>
    <w:pPr>
      <w:ind w:left="720"/>
      <w:contextualSpacing/>
    </w:p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extedebulles1">
    <w:name w:val="Texte de bulles1"/>
    <w:basedOn w:val="Normal"/>
    <w:qFormat/>
    <w:rPr>
      <w:rFonts w:ascii="Tahoma" w:hAnsi="Tahoma" w:cs="Tahoma"/>
      <w:sz w:val="16"/>
      <w:szCs w:val="16"/>
    </w:rPr>
  </w:style>
  <w:style w:type="paragraph" w:styleId="Commentaire">
    <w:name w:val="annotation text"/>
    <w:basedOn w:val="Normal"/>
    <w:qFormat/>
    <w:rPr>
      <w:sz w:val="20"/>
      <w:szCs w:val="20"/>
    </w:rPr>
  </w:style>
  <w:style w:type="paragraph" w:customStyle="1" w:styleId="Objetducommentaire1">
    <w:name w:val="Objet du commentaire1"/>
    <w:basedOn w:val="Commentaire"/>
    <w:next w:val="Commentaire"/>
    <w:qFormat/>
    <w:rPr>
      <w:b/>
      <w:bCs/>
    </w:rPr>
  </w:style>
  <w:style w:type="paragraph" w:styleId="Notedebasdepage">
    <w:name w:val="footnote text"/>
    <w:basedOn w:val="Normal"/>
    <w:rPr>
      <w:sz w:val="20"/>
      <w:szCs w:val="20"/>
    </w:rPr>
  </w:style>
  <w:style w:type="paragraph" w:customStyle="1" w:styleId="Default">
    <w:name w:val="Default"/>
    <w:qFormat/>
    <w:rPr>
      <w:rFonts w:ascii="Arial" w:eastAsia="Calibri" w:hAnsi="Arial" w:cs="Arial"/>
      <w:color w:val="000000"/>
      <w:sz w:val="24"/>
      <w:szCs w:val="24"/>
      <w:lang w:eastAsia="en-US"/>
    </w:rPr>
  </w:style>
  <w:style w:type="paragraph" w:customStyle="1" w:styleId="Rvision1">
    <w:name w:val="Révision1"/>
    <w:qFormat/>
    <w:rPr>
      <w:rFonts w:ascii="Arial" w:eastAsia="Calibri" w:hAnsi="Arial" w:cs="font873"/>
      <w:sz w:val="22"/>
      <w:szCs w:val="22"/>
      <w:lang w:eastAsia="en-US"/>
    </w:rPr>
  </w:style>
  <w:style w:type="paragraph" w:styleId="Rvision">
    <w:name w:val="Revision"/>
    <w:uiPriority w:val="99"/>
    <w:semiHidden/>
    <w:qFormat/>
    <w:rsid w:val="00867591"/>
    <w:rPr>
      <w:rFonts w:ascii="Arial" w:eastAsia="Calibri" w:hAnsi="Arial" w:cs="font873"/>
      <w:sz w:val="22"/>
      <w:szCs w:val="22"/>
      <w:lang w:eastAsia="en-US"/>
    </w:rPr>
  </w:style>
  <w:style w:type="paragraph" w:styleId="NormalWeb">
    <w:name w:val="Normal (Web)"/>
    <w:basedOn w:val="Normal"/>
    <w:uiPriority w:val="99"/>
    <w:semiHidden/>
    <w:unhideWhenUsed/>
    <w:qFormat/>
    <w:rsid w:val="00574E4A"/>
    <w:pPr>
      <w:suppressAutoHyphens w:val="0"/>
      <w:spacing w:beforeAutospacing="1"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44C2C"/>
    <w:pPr>
      <w:suppressAutoHyphens w:val="0"/>
      <w:ind w:left="720"/>
      <w:contextualSpacing/>
    </w:pPr>
    <w:rPr>
      <w:rFonts w:eastAsiaTheme="minorHAnsi" w:cs="Arial"/>
      <w:kern w:val="2"/>
      <w14:ligatures w14:val="standardContextual"/>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spaces.ffvoile.fr/media/87955/Annexe-jugement-semi-direct-IC.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a@ffvoile.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5550</Characters>
  <Application>Microsoft Office Word</Application>
  <DocSecurity>0</DocSecurity>
  <Lines>46</Lines>
  <Paragraphs>13</Paragraphs>
  <ScaleCrop>false</ScaleCrop>
  <Company>Mairie de Paris</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VERNIEST</dc:creator>
  <dc:description/>
  <cp:lastModifiedBy>Philippe Mazard</cp:lastModifiedBy>
  <cp:revision>2</cp:revision>
  <cp:lastPrinted>2025-06-16T14:06:00Z</cp:lastPrinted>
  <dcterms:created xsi:type="dcterms:W3CDTF">2025-11-29T22:41:00Z</dcterms:created>
  <dcterms:modified xsi:type="dcterms:W3CDTF">2025-11-29T22:41:00Z</dcterms:modified>
  <dc:language>fr-FR</dc:language>
</cp:coreProperties>
</file>